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9B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9C49BE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ку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B9704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7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B9704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Ткачеву </w:t>
                  </w:r>
                  <w:r w:rsidR="00B9704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Андрею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B0" w:rsidRDefault="00E715B0" w:rsidP="00174BDD">
      <w:r>
        <w:separator/>
      </w:r>
    </w:p>
  </w:endnote>
  <w:endnote w:type="continuationSeparator" w:id="0">
    <w:p w:rsidR="00E715B0" w:rsidRDefault="00E715B0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B0" w:rsidRDefault="00E715B0" w:rsidP="00174BDD">
      <w:r>
        <w:separator/>
      </w:r>
    </w:p>
  </w:footnote>
  <w:footnote w:type="continuationSeparator" w:id="0">
    <w:p w:rsidR="00E715B0" w:rsidRDefault="00E715B0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9C49BE"/>
    <w:rsid w:val="00A16B41"/>
    <w:rsid w:val="00A26474"/>
    <w:rsid w:val="00A8209E"/>
    <w:rsid w:val="00AB1BEE"/>
    <w:rsid w:val="00AD2495"/>
    <w:rsid w:val="00AF263C"/>
    <w:rsid w:val="00B276CF"/>
    <w:rsid w:val="00B97041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15B0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2018-09-28T11:16:00Z</dcterms:modified>
</cp:coreProperties>
</file>